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059.0002441406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285875" cy="2381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238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33.575439453125" w:line="245.35637855529785" w:lineRule="auto"/>
        <w:ind w:left="39.47967529296875" w:right="352.31201171875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DISCIPLINAS DO PROCESSO DE RECUPERAÇÃO DE DISCIPLINAS 2022/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2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CURSO: Tecnologia em Marketing</w:t>
      </w:r>
    </w:p>
    <w:tbl>
      <w:tblPr>
        <w:tblStyle w:val="Table1"/>
        <w:tblW w:w="66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0.0003051757812"/>
        <w:gridCol w:w="5579.999694824219"/>
        <w:tblGridChange w:id="0">
          <w:tblGrid>
            <w:gridCol w:w="1060.0003051757812"/>
            <w:gridCol w:w="5579.999694824219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06.34002685546875" w:firstLine="0"/>
              <w:jc w:val="right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Disciplina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Fundamentos de Marketing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Neuromarketing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Cultura, Sociedade e Sustentabilidade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Filosofia e Cidadania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Metodologia Científica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de Serviços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Digital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Estratégico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Planejamento de Marketing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Linguagem e Comunicação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de Marcas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Produto e Preço em Marketing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Promoção em Marketing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539367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Tópicos Especiais em Marketing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.539367675781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Comportamento do Consumidor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Distribuição e Ponto de Venda em Marketing</w:t>
            </w:r>
          </w:p>
        </w:tc>
      </w:tr>
      <w:tr>
        <w:trPr>
          <w:cantSplit w:val="0"/>
          <w:trHeight w:val="64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E-Commerce 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58.2598876953125" w:line="240" w:lineRule="auto"/>
              <w:ind w:left="80.679321289062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Gestão do Relacionamento com Clientes</w:t>
            </w:r>
          </w:p>
        </w:tc>
      </w:tr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Libras</w:t>
            </w:r>
          </w:p>
        </w:tc>
      </w:tr>
      <w:tr>
        <w:trPr>
          <w:cantSplit w:val="0"/>
          <w:trHeight w:val="30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13.78631591796875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89.479370117187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Práticas em Marketing</w:t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40" w:w="11920" w:orient="portrait"/>
      <w:pgMar w:bottom="8790" w:top="875.999755859375" w:left="2610" w:right="267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